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AFA44" w14:textId="1B3EB10D" w:rsidR="006971E7" w:rsidRDefault="006971E7" w:rsidP="006971E7">
      <w:pPr>
        <w:pStyle w:val="Rubrik2"/>
        <w:rPr>
          <w:lang w:val="en-US"/>
        </w:rPr>
      </w:pPr>
      <w:r>
        <w:rPr>
          <w:lang w:val="en-US"/>
        </w:rPr>
        <w:t>Readings 757A21 (more information in the Study Guide)</w:t>
      </w:r>
    </w:p>
    <w:p w14:paraId="59AEDDF7" w14:textId="77777777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</w:p>
    <w:p w14:paraId="724AD3BC" w14:textId="7E31DB16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Acker, J. (2012) “Gendered organizations and intersectionality: problems and possibilities”, </w:t>
      </w:r>
      <w:r w:rsidRPr="009A795F">
        <w:rPr>
          <w:rFonts w:ascii="Times New Roman" w:hAnsi="Times New Roman"/>
          <w:i/>
          <w:iCs/>
          <w:sz w:val="24"/>
          <w:szCs w:val="24"/>
          <w:lang w:val="en-US"/>
        </w:rPr>
        <w:t xml:space="preserve">Equality, </w:t>
      </w:r>
      <w:proofErr w:type="gramStart"/>
      <w:r w:rsidRPr="009A795F">
        <w:rPr>
          <w:rFonts w:ascii="Times New Roman" w:hAnsi="Times New Roman"/>
          <w:i/>
          <w:iCs/>
          <w:sz w:val="24"/>
          <w:szCs w:val="24"/>
          <w:lang w:val="en-US"/>
        </w:rPr>
        <w:t>Diversity</w:t>
      </w:r>
      <w:proofErr w:type="gramEnd"/>
      <w:r w:rsidRPr="009A795F">
        <w:rPr>
          <w:rFonts w:ascii="Times New Roman" w:hAnsi="Times New Roman"/>
          <w:i/>
          <w:iCs/>
          <w:sz w:val="24"/>
          <w:szCs w:val="24"/>
          <w:lang w:val="en-US"/>
        </w:rPr>
        <w:t xml:space="preserve"> and Inclusion</w:t>
      </w:r>
      <w:r>
        <w:rPr>
          <w:rFonts w:ascii="Times New Roman" w:hAnsi="Times New Roman"/>
          <w:sz w:val="24"/>
          <w:szCs w:val="24"/>
          <w:lang w:val="en-US"/>
        </w:rPr>
        <w:t>, 31 (3): 214-224.</w:t>
      </w:r>
    </w:p>
    <w:p w14:paraId="3BA9DA8B" w14:textId="77777777" w:rsidR="006971E7" w:rsidRPr="009700DB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B755F">
        <w:rPr>
          <w:rFonts w:ascii="Times New Roman" w:hAnsi="Times New Roman"/>
          <w:sz w:val="24"/>
          <w:szCs w:val="24"/>
          <w:lang w:val="en-US"/>
        </w:rPr>
        <w:t>Adib</w:t>
      </w:r>
      <w:proofErr w:type="spellEnd"/>
      <w:r w:rsidRPr="00AB755F">
        <w:rPr>
          <w:rFonts w:ascii="Times New Roman" w:hAnsi="Times New Roman"/>
          <w:sz w:val="24"/>
          <w:szCs w:val="24"/>
          <w:lang w:val="en-US"/>
        </w:rPr>
        <w:t xml:space="preserve">, A. &amp; Y. Guerrier (2003)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B755F">
        <w:rPr>
          <w:rFonts w:ascii="Times New Roman" w:hAnsi="Times New Roman"/>
          <w:sz w:val="24"/>
          <w:szCs w:val="24"/>
          <w:lang w:val="en-US"/>
        </w:rPr>
        <w:t>The Interlocking of Gender with Nationality, Race, Ethnicity and Class: The Narratives of Women in Hotel Work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Gender, Work and Organization</w:t>
      </w:r>
      <w:r>
        <w:rPr>
          <w:rFonts w:ascii="Times New Roman" w:hAnsi="Times New Roman"/>
          <w:sz w:val="24"/>
          <w:szCs w:val="24"/>
          <w:lang w:val="en-US"/>
        </w:rPr>
        <w:t>, 10 (4): 413-32</w:t>
      </w:r>
    </w:p>
    <w:p w14:paraId="576BDA00" w14:textId="77777777" w:rsidR="006971E7" w:rsidRDefault="006971E7" w:rsidP="006971E7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Anzaldua, G.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(1981)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B755F">
        <w:rPr>
          <w:rFonts w:ascii="Times New Roman" w:hAnsi="Times New Roman"/>
          <w:sz w:val="24"/>
          <w:szCs w:val="24"/>
          <w:lang w:val="en-US"/>
        </w:rPr>
        <w:t>Speaking in Tongues: A Lette</w:t>
      </w:r>
      <w:r>
        <w:rPr>
          <w:rFonts w:ascii="Times New Roman" w:hAnsi="Times New Roman"/>
          <w:sz w:val="24"/>
          <w:szCs w:val="24"/>
          <w:lang w:val="en-US"/>
        </w:rPr>
        <w:t>r to 3rd World Women Writers”, in G. Anzaldua &amp; C.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Moraga</w:t>
      </w:r>
      <w:r>
        <w:rPr>
          <w:rFonts w:ascii="Times New Roman" w:hAnsi="Times New Roman"/>
          <w:sz w:val="24"/>
          <w:szCs w:val="24"/>
          <w:lang w:val="en-US"/>
        </w:rPr>
        <w:t xml:space="preserve"> (eds.)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This Bridge Called My Back: Writings by Radical Women of Color</w:t>
      </w:r>
      <w:r>
        <w:rPr>
          <w:rFonts w:ascii="Times New Roman" w:hAnsi="Times New Roman"/>
          <w:sz w:val="24"/>
          <w:szCs w:val="24"/>
          <w:lang w:val="en-US"/>
        </w:rPr>
        <w:t xml:space="preserve">. Watertown: Mass: </w:t>
      </w:r>
      <w:r w:rsidRPr="00AB755F">
        <w:rPr>
          <w:rFonts w:ascii="Times New Roman" w:hAnsi="Times New Roman"/>
          <w:sz w:val="24"/>
          <w:szCs w:val="24"/>
          <w:lang w:val="en-US"/>
        </w:rPr>
        <w:t>Persephone Press</w:t>
      </w:r>
    </w:p>
    <w:p w14:paraId="4D607A31" w14:textId="77777777" w:rsidR="006971E7" w:rsidRDefault="006971E7" w:rsidP="006971E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Risling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C. (2017) “</w:t>
      </w:r>
      <w:proofErr w:type="spellStart"/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mini-k’iwh’e:n</w:t>
      </w:r>
      <w:proofErr w:type="spellEnd"/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 xml:space="preserve"> (For That Purpose—I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Consider Things):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(Re)writing and (Re)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righting Indigenous Menstrual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Practices to Intervene on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Contemporary Menstrual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Discourse and the Politics of Taboo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”, </w:t>
      </w:r>
      <w:r w:rsidRPr="009066C4">
        <w:rPr>
          <w:rFonts w:ascii="Times New Roman" w:eastAsiaTheme="minorEastAsia" w:hAnsi="Times New Roman"/>
          <w:i/>
          <w:iCs/>
          <w:sz w:val="24"/>
          <w:szCs w:val="24"/>
          <w:lang w:val="en-US"/>
        </w:rPr>
        <w:t xml:space="preserve">Cultural Studies </w:t>
      </w:r>
      <w:r w:rsidRPr="009066C4">
        <w:rPr>
          <w:rFonts w:ascii="Times New Roman" w:eastAsia="SymbolMT" w:hAnsi="Times New Roman"/>
          <w:i/>
          <w:iCs/>
          <w:sz w:val="24"/>
          <w:szCs w:val="24"/>
          <w:lang w:val="en-US"/>
        </w:rPr>
        <w:t xml:space="preserve">↔ </w:t>
      </w:r>
      <w:r w:rsidRPr="009066C4">
        <w:rPr>
          <w:rFonts w:ascii="Times New Roman" w:eastAsiaTheme="minorEastAsia" w:hAnsi="Times New Roman"/>
          <w:i/>
          <w:iCs/>
          <w:sz w:val="24"/>
          <w:szCs w:val="24"/>
          <w:lang w:val="en-US"/>
        </w:rPr>
        <w:t>Critical Methodologies</w:t>
      </w:r>
      <w:r w:rsidRPr="009066C4">
        <w:rPr>
          <w:rFonts w:ascii="Times New Roman" w:eastAsiaTheme="minorEastAsia" w:hAnsi="Times New Roman"/>
          <w:sz w:val="24"/>
          <w:szCs w:val="24"/>
          <w:lang w:val="en-US"/>
        </w:rPr>
        <w:t>, 17(1) 21 –29</w:t>
      </w:r>
    </w:p>
    <w:p w14:paraId="0FCE4C1D" w14:textId="1E701849" w:rsidR="006971E7" w:rsidRPr="006971E7" w:rsidRDefault="006971E7" w:rsidP="006971E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AB755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2F8D5D9" w14:textId="77777777" w:rsidR="006971E7" w:rsidRDefault="006971E7" w:rsidP="006971E7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A. &amp; A. Phoenix (2004)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Ain’t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 A Woman? Revisiting Intersectionality”, </w:t>
      </w:r>
      <w:r w:rsidRPr="0041253F">
        <w:rPr>
          <w:rFonts w:ascii="Times New Roman" w:hAnsi="Times New Roman"/>
          <w:i/>
          <w:sz w:val="24"/>
          <w:szCs w:val="24"/>
          <w:lang w:val="en-US"/>
        </w:rPr>
        <w:t>Journal of International Women’s Studies</w:t>
      </w:r>
      <w:r>
        <w:rPr>
          <w:rFonts w:ascii="Times New Roman" w:hAnsi="Times New Roman"/>
          <w:sz w:val="24"/>
          <w:szCs w:val="24"/>
          <w:lang w:val="en-US"/>
        </w:rPr>
        <w:t>, 5 (3): 75-86.</w:t>
      </w:r>
    </w:p>
    <w:p w14:paraId="1F3094D0" w14:textId="77777777" w:rsidR="006971E7" w:rsidRDefault="006971E7" w:rsidP="006971E7">
      <w:pPr>
        <w:widowControl w:val="0"/>
        <w:rPr>
          <w:lang w:val="en-US"/>
        </w:rPr>
      </w:pPr>
      <w:proofErr w:type="spellStart"/>
      <w:r w:rsidRPr="00AB755F">
        <w:rPr>
          <w:rFonts w:ascii="Times New Roman" w:hAnsi="Times New Roman"/>
          <w:sz w:val="24"/>
          <w:szCs w:val="24"/>
          <w:lang w:val="en-US"/>
        </w:rPr>
        <w:t>Calasanti</w:t>
      </w:r>
      <w:proofErr w:type="spellEnd"/>
      <w:r w:rsidRPr="00AB755F">
        <w:rPr>
          <w:rFonts w:ascii="Times New Roman" w:hAnsi="Times New Roman"/>
          <w:sz w:val="24"/>
          <w:szCs w:val="24"/>
          <w:lang w:val="en-US"/>
        </w:rPr>
        <w:t xml:space="preserve">, T. et al. (2006)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B755F">
        <w:rPr>
          <w:rFonts w:ascii="Times New Roman" w:hAnsi="Times New Roman"/>
          <w:sz w:val="24"/>
          <w:szCs w:val="24"/>
          <w:lang w:val="en-US"/>
        </w:rPr>
        <w:t>Ageism and Feminism: From “Et Cetera” to Center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NWSA Journal</w:t>
      </w:r>
      <w:r>
        <w:rPr>
          <w:rFonts w:ascii="Times New Roman" w:hAnsi="Times New Roman"/>
          <w:sz w:val="24"/>
          <w:szCs w:val="24"/>
          <w:lang w:val="en-US"/>
        </w:rPr>
        <w:t>, 18(1): 13-30.</w:t>
      </w:r>
    </w:p>
    <w:p w14:paraId="49ADB190" w14:textId="398D9AF7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Christensen, A-D, &amp; 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Qvotrup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Jensen (2014) “Combining hegemonic masculinity and intersectionality”, </w:t>
      </w:r>
      <w:r w:rsidRPr="00674AAE">
        <w:rPr>
          <w:rFonts w:ascii="Times New Roman" w:hAnsi="Times New Roman"/>
          <w:i/>
          <w:sz w:val="24"/>
          <w:szCs w:val="24"/>
          <w:lang w:val="en-US"/>
        </w:rPr>
        <w:t>NORMA</w:t>
      </w:r>
      <w:r>
        <w:rPr>
          <w:rFonts w:ascii="Times New Roman" w:hAnsi="Times New Roman"/>
          <w:sz w:val="24"/>
          <w:szCs w:val="24"/>
          <w:lang w:val="en-US"/>
        </w:rPr>
        <w:t>, 9 (1): 60-75</w:t>
      </w:r>
    </w:p>
    <w:p w14:paraId="087ED63E" w14:textId="2F0D20C7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 w:rsidRPr="00877BA5">
        <w:rPr>
          <w:rFonts w:ascii="Times New Roman" w:hAnsi="Times New Roman"/>
          <w:sz w:val="24"/>
          <w:szCs w:val="24"/>
          <w:lang w:val="en-US"/>
        </w:rPr>
        <w:t>Collin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77BA5">
        <w:rPr>
          <w:rFonts w:ascii="Times New Roman" w:hAnsi="Times New Roman"/>
          <w:sz w:val="24"/>
          <w:szCs w:val="24"/>
          <w:lang w:val="en-US"/>
        </w:rPr>
        <w:t>, P.</w:t>
      </w:r>
      <w:r>
        <w:rPr>
          <w:rFonts w:ascii="Times New Roman" w:hAnsi="Times New Roman"/>
          <w:sz w:val="24"/>
          <w:szCs w:val="24"/>
          <w:lang w:val="en-US"/>
        </w:rPr>
        <w:t>H.</w:t>
      </w:r>
      <w:r w:rsidRPr="00877BA5">
        <w:rPr>
          <w:rFonts w:ascii="Times New Roman" w:hAnsi="Times New Roman"/>
          <w:sz w:val="24"/>
          <w:szCs w:val="24"/>
          <w:lang w:val="en-US"/>
        </w:rPr>
        <w:t xml:space="preserve"> (1990) “Black Feminist Thought in the Matrix of Domination”, in </w:t>
      </w:r>
      <w:r w:rsidRPr="00C83B47">
        <w:rPr>
          <w:rFonts w:ascii="Times New Roman" w:hAnsi="Times New Roman"/>
          <w:i/>
          <w:iCs/>
          <w:sz w:val="24"/>
          <w:szCs w:val="24"/>
          <w:lang w:val="en-US"/>
        </w:rPr>
        <w:t>Black Feminist Thought: Knowledge, Consciousness and the Politics of Empowerment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E896AA8" w14:textId="77777777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 w:rsidRPr="00AB755F">
        <w:rPr>
          <w:rFonts w:ascii="Times New Roman" w:hAnsi="Times New Roman"/>
          <w:sz w:val="24"/>
          <w:szCs w:val="24"/>
          <w:lang w:val="en-US"/>
        </w:rPr>
        <w:t xml:space="preserve">Crenshaw, K. (1989)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B755F">
        <w:rPr>
          <w:rFonts w:ascii="Times New Roman" w:hAnsi="Times New Roman"/>
          <w:sz w:val="24"/>
          <w:szCs w:val="24"/>
          <w:lang w:val="en-US"/>
        </w:rPr>
        <w:t>Demarginali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AB755F">
        <w:rPr>
          <w:rFonts w:ascii="Times New Roman" w:hAnsi="Times New Roman"/>
          <w:sz w:val="24"/>
          <w:szCs w:val="24"/>
          <w:lang w:val="en-US"/>
        </w:rPr>
        <w:t>ing the Intersection of Race and Sex: A Black Feminist Critique of Antidiscrimination Doctrine, Feminist Theory and Antiracist Politics,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The University of Chicago Legal Forum</w:t>
      </w:r>
      <w:r w:rsidRPr="00AB755F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(1): 139-167</w:t>
      </w:r>
    </w:p>
    <w:p w14:paraId="71B1D6C6" w14:textId="146C9BEE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Davis, K. (2014) “Intersectionality as Critical Methodology”, ed. N. Lykke, </w:t>
      </w:r>
      <w:r w:rsidRPr="004D2229">
        <w:rPr>
          <w:rFonts w:ascii="Times New Roman" w:hAnsi="Times New Roman"/>
          <w:i/>
          <w:sz w:val="24"/>
          <w:szCs w:val="24"/>
          <w:lang w:val="en-US"/>
        </w:rPr>
        <w:t>Writing Academic Texts Differently</w:t>
      </w:r>
      <w:r>
        <w:rPr>
          <w:rFonts w:ascii="Times New Roman" w:hAnsi="Times New Roman"/>
          <w:sz w:val="24"/>
          <w:szCs w:val="24"/>
          <w:lang w:val="en-US"/>
        </w:rPr>
        <w:t>, London: Routledge.</w:t>
      </w:r>
    </w:p>
    <w:p w14:paraId="25A6C451" w14:textId="10409334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C30A4">
        <w:rPr>
          <w:rFonts w:ascii="Times New Roman" w:hAnsi="Times New Roman"/>
          <w:sz w:val="24"/>
          <w:szCs w:val="24"/>
          <w:lang w:val="en-US"/>
        </w:rPr>
        <w:t>Ehrnberger</w:t>
      </w:r>
      <w:proofErr w:type="spellEnd"/>
      <w:r w:rsidRPr="009C30A4">
        <w:rPr>
          <w:rFonts w:ascii="Times New Roman" w:hAnsi="Times New Roman"/>
          <w:sz w:val="24"/>
          <w:szCs w:val="24"/>
          <w:lang w:val="en-US"/>
        </w:rPr>
        <w:t xml:space="preserve">, K. et al (2017)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9C30A4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9C30A4">
        <w:rPr>
          <w:rFonts w:ascii="Times New Roman" w:hAnsi="Times New Roman"/>
          <w:sz w:val="24"/>
          <w:szCs w:val="24"/>
          <w:lang w:val="en-US"/>
        </w:rPr>
        <w:t>Androchair</w:t>
      </w:r>
      <w:proofErr w:type="spellEnd"/>
      <w:r w:rsidRPr="009C30A4">
        <w:rPr>
          <w:rFonts w:ascii="Times New Roman" w:hAnsi="Times New Roman"/>
          <w:sz w:val="24"/>
          <w:szCs w:val="24"/>
          <w:lang w:val="en-US"/>
        </w:rPr>
        <w:t xml:space="preserve">: Performing </w:t>
      </w:r>
      <w:proofErr w:type="spellStart"/>
      <w:r w:rsidRPr="009C30A4">
        <w:rPr>
          <w:rFonts w:ascii="Times New Roman" w:hAnsi="Times New Roman"/>
          <w:sz w:val="24"/>
          <w:szCs w:val="24"/>
          <w:lang w:val="en-US"/>
        </w:rPr>
        <w:t>Gynaecology</w:t>
      </w:r>
      <w:proofErr w:type="spellEnd"/>
      <w:r w:rsidRPr="009C30A4">
        <w:rPr>
          <w:rFonts w:ascii="Times New Roman" w:hAnsi="Times New Roman"/>
          <w:sz w:val="24"/>
          <w:szCs w:val="24"/>
          <w:lang w:val="en-US"/>
        </w:rPr>
        <w:t xml:space="preserve"> through the Practice of Gender Critical Design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9C30A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C30A4">
        <w:rPr>
          <w:rFonts w:ascii="Times New Roman" w:hAnsi="Times New Roman"/>
          <w:i/>
          <w:iCs/>
          <w:sz w:val="24"/>
          <w:szCs w:val="24"/>
          <w:lang w:val="en-US"/>
        </w:rPr>
        <w:t>The Design Journa</w:t>
      </w:r>
      <w:r w:rsidRPr="009C30A4">
        <w:rPr>
          <w:rFonts w:ascii="Times New Roman" w:hAnsi="Times New Roman"/>
          <w:sz w:val="24"/>
          <w:szCs w:val="24"/>
          <w:lang w:val="en-US"/>
        </w:rPr>
        <w:t>l 20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30A4">
        <w:rPr>
          <w:rFonts w:ascii="Times New Roman" w:hAnsi="Times New Roman"/>
          <w:sz w:val="24"/>
          <w:szCs w:val="24"/>
          <w:lang w:val="en-US"/>
        </w:rPr>
        <w:t>(2): 181-198</w:t>
      </w:r>
    </w:p>
    <w:p w14:paraId="78AD4D6E" w14:textId="77777777" w:rsidR="006971E7" w:rsidRPr="00D00DFE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Hirschmann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N. (2012) Disability as a New Frontier for Feminist Intersectionality Research, </w:t>
      </w:r>
      <w:r w:rsidRPr="0053107D">
        <w:rPr>
          <w:rFonts w:ascii="Times New Roman" w:hAnsi="Times New Roman"/>
          <w:i/>
          <w:sz w:val="24"/>
          <w:szCs w:val="24"/>
          <w:lang w:val="en-US"/>
        </w:rPr>
        <w:t>Politics &amp; Gender</w:t>
      </w:r>
      <w:r>
        <w:rPr>
          <w:rFonts w:ascii="Times New Roman" w:hAnsi="Times New Roman"/>
          <w:sz w:val="24"/>
          <w:szCs w:val="24"/>
          <w:lang w:val="en-US"/>
        </w:rPr>
        <w:t xml:space="preserve">, 8 (3): 396-405 </w:t>
      </w:r>
    </w:p>
    <w:p w14:paraId="31788C5B" w14:textId="54EF85B6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 w:rsidRPr="00AB755F">
        <w:rPr>
          <w:rFonts w:ascii="Times New Roman" w:hAnsi="Times New Roman"/>
          <w:sz w:val="24"/>
          <w:szCs w:val="24"/>
          <w:lang w:val="en-US"/>
        </w:rPr>
        <w:lastRenderedPageBreak/>
        <w:t xml:space="preserve">Jean-Marie, G. et al (2009)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B755F">
        <w:rPr>
          <w:rFonts w:ascii="Times New Roman" w:hAnsi="Times New Roman"/>
          <w:sz w:val="24"/>
          <w:szCs w:val="24"/>
          <w:lang w:val="en-US"/>
        </w:rPr>
        <w:t>Black Women’s Leadership Experiences: Examining the Intersectionality of Race and Gender</w:t>
      </w:r>
      <w:r>
        <w:rPr>
          <w:rFonts w:ascii="Times New Roman" w:hAnsi="Times New Roman"/>
          <w:sz w:val="24"/>
          <w:szCs w:val="24"/>
          <w:lang w:val="en-US"/>
        </w:rPr>
        <w:t>”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Advances in Developing Human Resources</w:t>
      </w:r>
      <w:r>
        <w:rPr>
          <w:rFonts w:ascii="Times New Roman" w:hAnsi="Times New Roman"/>
          <w:sz w:val="24"/>
          <w:szCs w:val="24"/>
          <w:lang w:val="en-US"/>
        </w:rPr>
        <w:t xml:space="preserve"> 11 (5): 562-581</w:t>
      </w:r>
    </w:p>
    <w:p w14:paraId="03E9827E" w14:textId="1CAAE8A8" w:rsidR="006971E7" w:rsidRPr="006971E7" w:rsidRDefault="006971E7" w:rsidP="006971E7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AB755F">
        <w:rPr>
          <w:rFonts w:ascii="Times New Roman" w:hAnsi="Times New Roman"/>
          <w:color w:val="000000"/>
          <w:sz w:val="24"/>
          <w:szCs w:val="24"/>
          <w:lang w:val="en-US"/>
        </w:rPr>
        <w:t>Levine-</w:t>
      </w:r>
      <w:proofErr w:type="spellStart"/>
      <w:r w:rsidRPr="00AB755F">
        <w:rPr>
          <w:rFonts w:ascii="Times New Roman" w:hAnsi="Times New Roman"/>
          <w:color w:val="000000"/>
          <w:sz w:val="24"/>
          <w:szCs w:val="24"/>
          <w:lang w:val="en-US"/>
        </w:rPr>
        <w:t>Rasky</w:t>
      </w:r>
      <w:proofErr w:type="spellEnd"/>
      <w:r w:rsidRPr="00AB755F">
        <w:rPr>
          <w:rFonts w:ascii="Times New Roman" w:hAnsi="Times New Roman"/>
          <w:color w:val="000000"/>
          <w:sz w:val="24"/>
          <w:szCs w:val="24"/>
          <w:lang w:val="en-US"/>
        </w:rPr>
        <w:t xml:space="preserve">, C. (2011)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AB755F">
        <w:rPr>
          <w:rFonts w:ascii="Times New Roman" w:hAnsi="Times New Roman"/>
          <w:color w:val="000000"/>
          <w:sz w:val="24"/>
          <w:szCs w:val="24"/>
          <w:lang w:val="en-US"/>
        </w:rPr>
        <w:t>Intersectionality theory applied to whiteness and middle-classness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AB755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AB755F">
        <w:rPr>
          <w:rFonts w:ascii="Times New Roman" w:hAnsi="Times New Roman"/>
          <w:i/>
          <w:color w:val="000000"/>
          <w:sz w:val="24"/>
          <w:szCs w:val="24"/>
          <w:lang w:val="en-US"/>
        </w:rPr>
        <w:t>Social Identities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17(2):</w:t>
      </w:r>
      <w:r w:rsidRPr="00AB755F">
        <w:rPr>
          <w:rFonts w:ascii="Times New Roman" w:hAnsi="Times New Roman"/>
          <w:color w:val="000000"/>
          <w:sz w:val="24"/>
          <w:szCs w:val="24"/>
          <w:lang w:val="en-US"/>
        </w:rPr>
        <w:t xml:space="preserve"> 239-253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784AAAEE" w14:textId="7C788C6D" w:rsidR="006971E7" w:rsidRPr="0041253F" w:rsidRDefault="006971E7" w:rsidP="006971E7">
      <w:pPr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Lorde, A.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(1981) “The master’s tools will never dismantle the master’s house”, in: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This Bridge Called My Back: Writings by Radical Women of Color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. eds. Gloria Anzaldua and </w:t>
      </w:r>
      <w:proofErr w:type="spellStart"/>
      <w:r w:rsidRPr="00AB755F">
        <w:rPr>
          <w:rFonts w:ascii="Times New Roman" w:hAnsi="Times New Roman"/>
          <w:sz w:val="24"/>
          <w:szCs w:val="24"/>
          <w:lang w:val="en-US"/>
        </w:rPr>
        <w:t>Cherríe</w:t>
      </w:r>
      <w:proofErr w:type="spellEnd"/>
      <w:r w:rsidRPr="00AB755F">
        <w:rPr>
          <w:rFonts w:ascii="Times New Roman" w:hAnsi="Times New Roman"/>
          <w:sz w:val="24"/>
          <w:szCs w:val="24"/>
          <w:lang w:val="en-US"/>
        </w:rPr>
        <w:t xml:space="preserve"> Moraga Persephone Press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38C67B7" w14:textId="73A27D73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Lugones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M.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(2008) “The coloniality of gender”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Worlds &amp; Knowledges Otherwise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. Spring 2008 </w:t>
      </w:r>
    </w:p>
    <w:p w14:paraId="3BB39698" w14:textId="7181BD06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 w:rsidRPr="00AB755F">
        <w:rPr>
          <w:rFonts w:ascii="Times New Roman" w:hAnsi="Times New Roman"/>
          <w:sz w:val="24"/>
          <w:szCs w:val="24"/>
          <w:lang w:val="en-US"/>
        </w:rPr>
        <w:t>Lykke, N. (2010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“Theorizing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Intersectionalities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Genealogies and Blind Spots”, in N. Lykke,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Feminist Studies- A Guide to Intersectional Theory, Methodology and Writing</w:t>
      </w:r>
      <w:r w:rsidRPr="00AB755F">
        <w:rPr>
          <w:rFonts w:ascii="Times New Roman" w:hAnsi="Times New Roman"/>
          <w:sz w:val="24"/>
          <w:szCs w:val="24"/>
          <w:lang w:val="en-US"/>
        </w:rPr>
        <w:t>, London: Routledge</w:t>
      </w:r>
    </w:p>
    <w:p w14:paraId="193D814C" w14:textId="02709740" w:rsidR="006971E7" w:rsidRPr="00AB755F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bookmarkStart w:id="0" w:name="_Hlk514930604"/>
      <w:r w:rsidRPr="00AB755F">
        <w:rPr>
          <w:rFonts w:ascii="Times New Roman" w:hAnsi="Times New Roman"/>
          <w:sz w:val="24"/>
          <w:szCs w:val="24"/>
          <w:lang w:val="en-US"/>
        </w:rPr>
        <w:t>Lykke, N. (2010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B755F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“Rethinking Epistemologies”, </w:t>
      </w:r>
      <w:r w:rsidRPr="00AB755F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N. Lykke,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Feminist Studies- A Guide to Intersectional Theory, Methodology and Writing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, London: Routledge </w:t>
      </w:r>
      <w:bookmarkEnd w:id="0"/>
    </w:p>
    <w:p w14:paraId="1C73D00B" w14:textId="3F73A647" w:rsidR="006971E7" w:rsidRDefault="006971E7" w:rsidP="006971E7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Mohanty, C.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Talpade (1984) “Under Western Eyes: Feminist Scholarship and Colonial discourses,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Boundary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2. 12:3-13:1 </w:t>
      </w:r>
    </w:p>
    <w:p w14:paraId="2DFA99D8" w14:textId="77777777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04792">
        <w:rPr>
          <w:rFonts w:ascii="Times New Roman" w:hAnsi="Times New Roman"/>
          <w:sz w:val="24"/>
          <w:szCs w:val="24"/>
          <w:lang w:val="en-US"/>
        </w:rPr>
        <w:t>Saadawi</w:t>
      </w:r>
      <w:proofErr w:type="spellEnd"/>
      <w:r w:rsidRPr="00F04792">
        <w:rPr>
          <w:rFonts w:ascii="Times New Roman" w:hAnsi="Times New Roman"/>
          <w:sz w:val="24"/>
          <w:szCs w:val="24"/>
          <w:lang w:val="en-US"/>
        </w:rPr>
        <w:t>, Nawal el.</w:t>
      </w:r>
      <w:r>
        <w:rPr>
          <w:rFonts w:ascii="Times New Roman" w:hAnsi="Times New Roman"/>
          <w:sz w:val="24"/>
          <w:szCs w:val="24"/>
          <w:lang w:val="en-US"/>
        </w:rPr>
        <w:t xml:space="preserve"> (1997)</w:t>
      </w:r>
      <w:r w:rsidRPr="00F04792">
        <w:rPr>
          <w:rFonts w:ascii="Times New Roman" w:hAnsi="Times New Roman"/>
          <w:sz w:val="24"/>
          <w:szCs w:val="24"/>
          <w:lang w:val="en-US"/>
        </w:rPr>
        <w:t xml:space="preserve"> “Women and development. A critical view o</w:t>
      </w:r>
      <w:r>
        <w:rPr>
          <w:rFonts w:ascii="Times New Roman" w:hAnsi="Times New Roman"/>
          <w:sz w:val="24"/>
          <w:szCs w:val="24"/>
          <w:lang w:val="en-US"/>
        </w:rPr>
        <w:t>f the Wellesley conference,” in</w:t>
      </w:r>
      <w:r w:rsidRPr="00F047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4792">
        <w:rPr>
          <w:rFonts w:ascii="Times New Roman" w:hAnsi="Times New Roman"/>
          <w:i/>
          <w:sz w:val="24"/>
          <w:szCs w:val="24"/>
          <w:lang w:val="en-US"/>
        </w:rPr>
        <w:t xml:space="preserve">The Nawal el </w:t>
      </w:r>
      <w:proofErr w:type="spellStart"/>
      <w:r w:rsidRPr="00F04792">
        <w:rPr>
          <w:rFonts w:ascii="Times New Roman" w:hAnsi="Times New Roman"/>
          <w:i/>
          <w:sz w:val="24"/>
          <w:szCs w:val="24"/>
          <w:lang w:val="en-US"/>
        </w:rPr>
        <w:t>Saadawi</w:t>
      </w:r>
      <w:proofErr w:type="spellEnd"/>
      <w:r w:rsidRPr="00F04792">
        <w:rPr>
          <w:rFonts w:ascii="Times New Roman" w:hAnsi="Times New Roman"/>
          <w:i/>
          <w:sz w:val="24"/>
          <w:szCs w:val="24"/>
          <w:lang w:val="en-US"/>
        </w:rPr>
        <w:t xml:space="preserve"> Reader</w:t>
      </w:r>
      <w:r>
        <w:rPr>
          <w:rFonts w:ascii="Times New Roman" w:hAnsi="Times New Roman"/>
          <w:sz w:val="24"/>
          <w:szCs w:val="24"/>
          <w:lang w:val="en-US"/>
        </w:rPr>
        <w:t xml:space="preserve">, London: </w:t>
      </w:r>
      <w:r w:rsidRPr="00F04792">
        <w:rPr>
          <w:rFonts w:ascii="Times New Roman" w:hAnsi="Times New Roman"/>
          <w:sz w:val="24"/>
          <w:szCs w:val="24"/>
          <w:lang w:val="en-US"/>
        </w:rPr>
        <w:t>Zed Books</w:t>
      </w:r>
    </w:p>
    <w:p w14:paraId="1987E76E" w14:textId="4E8A62BC" w:rsidR="006971E7" w:rsidRDefault="006971E7" w:rsidP="006971E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Spivak, G.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755F">
        <w:rPr>
          <w:rFonts w:ascii="Times New Roman" w:hAnsi="Times New Roman"/>
          <w:sz w:val="24"/>
          <w:szCs w:val="24"/>
          <w:lang w:val="en-US"/>
        </w:rPr>
        <w:t>Chakravorty</w:t>
      </w:r>
      <w:proofErr w:type="spellEnd"/>
      <w:r w:rsidRPr="00AB755F">
        <w:rPr>
          <w:rFonts w:ascii="Times New Roman" w:hAnsi="Times New Roman"/>
          <w:sz w:val="24"/>
          <w:szCs w:val="24"/>
          <w:lang w:val="en-US"/>
        </w:rPr>
        <w:t xml:space="preserve"> (1988)</w:t>
      </w:r>
      <w:r>
        <w:rPr>
          <w:rFonts w:ascii="Times New Roman" w:hAnsi="Times New Roman"/>
          <w:sz w:val="24"/>
          <w:szCs w:val="24"/>
          <w:lang w:val="en-US"/>
        </w:rPr>
        <w:t xml:space="preserve"> “Can the subaltern speak?”, in C. Nelson &amp; L.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Grossberg</w:t>
      </w:r>
      <w:r>
        <w:rPr>
          <w:rFonts w:ascii="Times New Roman" w:hAnsi="Times New Roman"/>
          <w:sz w:val="24"/>
          <w:szCs w:val="24"/>
          <w:lang w:val="en-US"/>
        </w:rPr>
        <w:t xml:space="preserve"> (eds.)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755F">
        <w:rPr>
          <w:rFonts w:ascii="Times New Roman" w:hAnsi="Times New Roman"/>
          <w:i/>
          <w:sz w:val="24"/>
          <w:szCs w:val="24"/>
          <w:lang w:val="en-US"/>
        </w:rPr>
        <w:t>Marxism and the Interpretation of Culture</w:t>
      </w:r>
      <w:r w:rsidRPr="00AB755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DC63557" w14:textId="745B21DB" w:rsidR="006971E7" w:rsidRDefault="006971E7" w:rsidP="006971E7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Tlostanova, M., S. Thapar-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Björkert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R.</w:t>
      </w:r>
      <w:r w:rsidRPr="00C518BD">
        <w:rPr>
          <w:rFonts w:ascii="Times New Roman" w:hAnsi="Times New Roman"/>
          <w:sz w:val="24"/>
          <w:szCs w:val="24"/>
          <w:lang w:val="en-US"/>
        </w:rPr>
        <w:t xml:space="preserve"> Koobak</w:t>
      </w:r>
      <w:r>
        <w:rPr>
          <w:rFonts w:ascii="Times New Roman" w:hAnsi="Times New Roman"/>
          <w:sz w:val="24"/>
          <w:szCs w:val="24"/>
          <w:lang w:val="en-US"/>
        </w:rPr>
        <w:t xml:space="preserve"> (2016) “</w:t>
      </w:r>
      <w:r w:rsidRPr="00C518BD">
        <w:rPr>
          <w:rFonts w:ascii="Times New Roman" w:hAnsi="Times New Roman"/>
          <w:sz w:val="24"/>
          <w:szCs w:val="24"/>
          <w:lang w:val="en-US"/>
        </w:rPr>
        <w:t xml:space="preserve">Border thinking and disidentification: Postcolonial and </w:t>
      </w:r>
      <w:proofErr w:type="spellStart"/>
      <w:r w:rsidRPr="00C518BD">
        <w:rPr>
          <w:rFonts w:ascii="Times New Roman" w:hAnsi="Times New Roman"/>
          <w:sz w:val="24"/>
          <w:szCs w:val="24"/>
          <w:lang w:val="en-US"/>
        </w:rPr>
        <w:t>postsocialist</w:t>
      </w:r>
      <w:proofErr w:type="spellEnd"/>
      <w:r w:rsidRPr="00C518BD">
        <w:rPr>
          <w:rFonts w:ascii="Times New Roman" w:hAnsi="Times New Roman"/>
          <w:sz w:val="24"/>
          <w:szCs w:val="24"/>
          <w:lang w:val="en-US"/>
        </w:rPr>
        <w:t xml:space="preserve"> feminist dialogues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C518BD">
        <w:rPr>
          <w:rFonts w:ascii="Times New Roman" w:hAnsi="Times New Roman"/>
          <w:i/>
          <w:sz w:val="24"/>
          <w:szCs w:val="24"/>
          <w:lang w:val="en-US"/>
        </w:rPr>
        <w:t>Feminist Theory</w:t>
      </w:r>
      <w:r>
        <w:rPr>
          <w:rFonts w:ascii="Times New Roman" w:hAnsi="Times New Roman"/>
          <w:sz w:val="24"/>
          <w:szCs w:val="24"/>
          <w:lang w:val="en-US"/>
        </w:rPr>
        <w:t xml:space="preserve">, 17 (2) </w:t>
      </w:r>
      <w:r w:rsidRPr="00C518BD">
        <w:rPr>
          <w:rFonts w:ascii="Times New Roman" w:hAnsi="Times New Roman"/>
          <w:sz w:val="24"/>
          <w:szCs w:val="24"/>
          <w:lang w:val="en-US"/>
        </w:rPr>
        <w:t>Special issue: Southern feminisms</w:t>
      </w:r>
      <w:r>
        <w:rPr>
          <w:rFonts w:ascii="Times New Roman" w:hAnsi="Times New Roman"/>
          <w:sz w:val="24"/>
          <w:szCs w:val="24"/>
          <w:lang w:val="en-US"/>
        </w:rPr>
        <w:t xml:space="preserve">: 211-228 </w:t>
      </w:r>
    </w:p>
    <w:p w14:paraId="59D3DBE7" w14:textId="038A2088" w:rsidR="006971E7" w:rsidRPr="00E2143F" w:rsidRDefault="006971E7" w:rsidP="006971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933A9">
        <w:rPr>
          <w:rFonts w:ascii="Times New Roman" w:hAnsi="Times New Roman"/>
          <w:sz w:val="24"/>
          <w:szCs w:val="24"/>
          <w:lang w:val="en-US"/>
        </w:rPr>
        <w:t xml:space="preserve">Winner, L (1980) Do Artifacts Have Politics? </w:t>
      </w:r>
      <w:proofErr w:type="spellStart"/>
      <w:r w:rsidRPr="00E2143F">
        <w:rPr>
          <w:rFonts w:ascii="Times New Roman" w:hAnsi="Times New Roman"/>
          <w:i/>
          <w:iCs/>
          <w:sz w:val="24"/>
          <w:szCs w:val="24"/>
        </w:rPr>
        <w:t>Daedalus</w:t>
      </w:r>
      <w:proofErr w:type="spellEnd"/>
      <w:r w:rsidRPr="00E2143F">
        <w:rPr>
          <w:rFonts w:ascii="Times New Roman" w:hAnsi="Times New Roman"/>
          <w:sz w:val="24"/>
          <w:szCs w:val="24"/>
        </w:rPr>
        <w:t xml:space="preserve"> 109(1):</w:t>
      </w:r>
      <w:proofErr w:type="gramStart"/>
      <w:r w:rsidRPr="00E2143F">
        <w:rPr>
          <w:rFonts w:ascii="Times New Roman" w:hAnsi="Times New Roman"/>
          <w:sz w:val="24"/>
          <w:szCs w:val="24"/>
        </w:rPr>
        <w:t>121-136</w:t>
      </w:r>
      <w:proofErr w:type="gramEnd"/>
      <w:r w:rsidRPr="00E2143F">
        <w:rPr>
          <w:rFonts w:ascii="Times New Roman" w:hAnsi="Times New Roman"/>
          <w:sz w:val="24"/>
          <w:szCs w:val="24"/>
        </w:rPr>
        <w:t xml:space="preserve"> </w:t>
      </w:r>
    </w:p>
    <w:p w14:paraId="062904CF" w14:textId="77777777" w:rsidR="006971E7" w:rsidRPr="009700DB" w:rsidRDefault="006971E7" w:rsidP="006971E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0CEACAB3" w14:textId="77777777" w:rsidR="006971E7" w:rsidRPr="00D03EE3" w:rsidRDefault="006971E7" w:rsidP="006971E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DAACB5A" w14:textId="77777777" w:rsidR="002C15AB" w:rsidRPr="006971E7" w:rsidRDefault="002C15AB">
      <w:pPr>
        <w:rPr>
          <w:lang w:val="en-US"/>
        </w:rPr>
      </w:pPr>
    </w:p>
    <w:sectPr w:rsidR="002C15AB" w:rsidRPr="006971E7" w:rsidSect="00D05C0F">
      <w:footerReference w:type="default" r:id="rId7"/>
      <w:headerReference w:type="first" r:id="rId8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C1008" w14:textId="77777777" w:rsidR="00AE5395" w:rsidRDefault="00AE5395" w:rsidP="006971E7">
      <w:pPr>
        <w:spacing w:after="0" w:line="240" w:lineRule="auto"/>
      </w:pPr>
      <w:r>
        <w:separator/>
      </w:r>
    </w:p>
  </w:endnote>
  <w:endnote w:type="continuationSeparator" w:id="0">
    <w:p w14:paraId="451A01D8" w14:textId="77777777" w:rsidR="00AE5395" w:rsidRDefault="00AE5395" w:rsidP="0069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E7F1" w14:textId="77777777" w:rsidR="00B53568" w:rsidRDefault="00AE5395" w:rsidP="003544CD">
    <w:pPr>
      <w:pStyle w:val="Sidfot"/>
    </w:pPr>
  </w:p>
  <w:p w14:paraId="79E5EDC7" w14:textId="77777777" w:rsidR="00B53568" w:rsidRDefault="00AE5395" w:rsidP="003544CD">
    <w:pPr>
      <w:pStyle w:val="Sidfot"/>
    </w:pPr>
  </w:p>
  <w:p w14:paraId="04DFD459" w14:textId="77777777" w:rsidR="00B53568" w:rsidRDefault="00A93645" w:rsidP="003544CD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B876E5" wp14:editId="5BB6019C">
          <wp:simplePos x="0" y="0"/>
          <wp:positionH relativeFrom="column">
            <wp:posOffset>-906780</wp:posOffset>
          </wp:positionH>
          <wp:positionV relativeFrom="paragraph">
            <wp:posOffset>77470</wp:posOffset>
          </wp:positionV>
          <wp:extent cx="800100" cy="559435"/>
          <wp:effectExtent l="0" t="0" r="12700" b="0"/>
          <wp:wrapThrough wrapText="bothSides">
            <wp:wrapPolygon edited="0">
              <wp:start x="0" y="0"/>
              <wp:lineTo x="0" y="20595"/>
              <wp:lineTo x="21257" y="20595"/>
              <wp:lineTo x="21257" y="3923"/>
              <wp:lineTo x="5486" y="0"/>
              <wp:lineTo x="0" y="0"/>
            </wp:wrapPolygon>
          </wp:wrapThrough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9E200EC" w14:textId="77777777" w:rsidR="00B53568" w:rsidRDefault="00AE5395" w:rsidP="003544CD">
    <w:pPr>
      <w:pStyle w:val="Sidfot"/>
    </w:pPr>
  </w:p>
  <w:p w14:paraId="0E4A261E" w14:textId="77777777" w:rsidR="00B53568" w:rsidRPr="00CF70F5" w:rsidRDefault="00AE5395" w:rsidP="003544CD">
    <w:pPr>
      <w:pStyle w:val="Sidfot"/>
    </w:pPr>
  </w:p>
  <w:p w14:paraId="4DA51235" w14:textId="77777777" w:rsidR="00B53568" w:rsidRDefault="00AE5395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99F8" w14:textId="77777777" w:rsidR="00AE5395" w:rsidRDefault="00AE5395" w:rsidP="006971E7">
      <w:pPr>
        <w:spacing w:after="0" w:line="240" w:lineRule="auto"/>
      </w:pPr>
      <w:r>
        <w:separator/>
      </w:r>
    </w:p>
  </w:footnote>
  <w:footnote w:type="continuationSeparator" w:id="0">
    <w:p w14:paraId="6AF53089" w14:textId="77777777" w:rsidR="00AE5395" w:rsidRDefault="00AE5395" w:rsidP="0069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2A3A" w14:textId="77777777" w:rsidR="00B53568" w:rsidRDefault="00A93645" w:rsidP="0073249C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68B661" wp14:editId="7C2998FA">
          <wp:simplePos x="0" y="0"/>
          <wp:positionH relativeFrom="column">
            <wp:posOffset>-901065</wp:posOffset>
          </wp:positionH>
          <wp:positionV relativeFrom="page">
            <wp:posOffset>385445</wp:posOffset>
          </wp:positionV>
          <wp:extent cx="1814400" cy="478800"/>
          <wp:effectExtent l="0" t="0" r="0" b="3810"/>
          <wp:wrapThrough wrapText="bothSides">
            <wp:wrapPolygon edited="0">
              <wp:start x="0" y="0"/>
              <wp:lineTo x="0" y="20626"/>
              <wp:lineTo x="21169" y="20626"/>
              <wp:lineTo x="21169" y="4584"/>
              <wp:lineTo x="2419" y="0"/>
              <wp:lineTo x="0" y="0"/>
            </wp:wrapPolygon>
          </wp:wrapThrough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47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544CD">
      <w:fldChar w:fldCharType="begin"/>
    </w:r>
    <w:r w:rsidRPr="003544CD">
      <w:instrText xml:space="preserve"> PAGE  \* MERGEFORMAT </w:instrText>
    </w:r>
    <w:r w:rsidRPr="003544CD">
      <w:fldChar w:fldCharType="separate"/>
    </w:r>
    <w:r>
      <w:rPr>
        <w:noProof/>
      </w:rPr>
      <w:t>1</w:t>
    </w:r>
    <w:r w:rsidRPr="003544CD">
      <w:fldChar w:fldCharType="end"/>
    </w:r>
    <w:r w:rsidRPr="003544CD">
      <w:t>(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E7"/>
    <w:rsid w:val="00220E99"/>
    <w:rsid w:val="002C15AB"/>
    <w:rsid w:val="006971E7"/>
    <w:rsid w:val="00A93645"/>
    <w:rsid w:val="00AE5395"/>
    <w:rsid w:val="00B65C70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D123"/>
  <w15:chartTrackingRefBased/>
  <w15:docId w15:val="{4C0C3E90-916F-40A0-9D0C-31C2D71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E7"/>
    <w:pPr>
      <w:spacing w:after="200" w:line="276" w:lineRule="auto"/>
    </w:pPr>
    <w:rPr>
      <w:rFonts w:ascii="Cambria" w:eastAsia="Times New Roman" w:hAnsi="Cambria" w:cs="Times New Roman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71E7"/>
    <w:pPr>
      <w:widowControl w:val="0"/>
      <w:autoSpaceDE w:val="0"/>
      <w:autoSpaceDN w:val="0"/>
      <w:adjustRightInd w:val="0"/>
      <w:spacing w:after="57" w:line="288" w:lineRule="auto"/>
      <w:textAlignment w:val="center"/>
      <w:outlineLvl w:val="1"/>
    </w:pPr>
    <w:rPr>
      <w:rFonts w:ascii="Calibri-Bold" w:eastAsiaTheme="minorEastAsia" w:hAnsi="Calibri-Bold" w:cs="Calibri-Bold"/>
      <w:b/>
      <w:bC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971E7"/>
    <w:rPr>
      <w:rFonts w:ascii="Calibri-Bold" w:eastAsiaTheme="minorEastAsia" w:hAnsi="Calibri-Bold" w:cs="Calibri-Bold"/>
      <w:b/>
      <w:bCs/>
      <w:color w:val="000000"/>
      <w:sz w:val="28"/>
      <w:szCs w:val="28"/>
      <w:lang w:eastAsia="sv-SE"/>
    </w:rPr>
  </w:style>
  <w:style w:type="paragraph" w:styleId="Sidhuvud">
    <w:name w:val="header"/>
    <w:link w:val="SidhuvudChar"/>
    <w:uiPriority w:val="99"/>
    <w:unhideWhenUsed/>
    <w:rsid w:val="006971E7"/>
    <w:pPr>
      <w:tabs>
        <w:tab w:val="right" w:pos="8930"/>
      </w:tabs>
      <w:spacing w:after="0" w:line="240" w:lineRule="auto"/>
      <w:ind w:right="360"/>
    </w:pPr>
    <w:rPr>
      <w:rFonts w:ascii="Calibri" w:eastAsiaTheme="minorEastAsia" w:hAnsi="Calibri"/>
      <w:caps/>
      <w:kern w:val="15"/>
      <w:sz w:val="18"/>
      <w:szCs w:val="18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6971E7"/>
    <w:rPr>
      <w:rFonts w:ascii="Calibri" w:eastAsiaTheme="minorEastAsia" w:hAnsi="Calibri"/>
      <w:caps/>
      <w:kern w:val="15"/>
      <w:sz w:val="18"/>
      <w:szCs w:val="18"/>
      <w:lang w:eastAsia="sv-SE"/>
    </w:rPr>
  </w:style>
  <w:style w:type="paragraph" w:styleId="Sidfot">
    <w:name w:val="footer"/>
    <w:link w:val="SidfotChar"/>
    <w:uiPriority w:val="99"/>
    <w:unhideWhenUsed/>
    <w:rsid w:val="006971E7"/>
    <w:pPr>
      <w:spacing w:after="0" w:line="240" w:lineRule="auto"/>
    </w:pPr>
    <w:rPr>
      <w:rFonts w:ascii="Calibri" w:eastAsiaTheme="minorEastAsia" w:hAnsi="Calibri" w:cs="Calibri-Bold"/>
      <w:bCs/>
      <w:color w:val="000000"/>
      <w:sz w:val="18"/>
      <w:szCs w:val="18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971E7"/>
    <w:rPr>
      <w:rFonts w:ascii="Calibri" w:eastAsiaTheme="minorEastAsia" w:hAnsi="Calibri" w:cs="Calibri-Bold"/>
      <w:bCs/>
      <w:color w:val="000000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6971E7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97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A3F15E4014429362DA6950D74179" ma:contentTypeVersion="2" ma:contentTypeDescription="Create a new document." ma:contentTypeScope="" ma:versionID="e7c9a0fb0f774eec83f61d4620eac822">
  <xsd:schema xmlns:xsd="http://www.w3.org/2001/XMLSchema" xmlns:xs="http://www.w3.org/2001/XMLSchema" xmlns:p="http://schemas.microsoft.com/office/2006/metadata/properties" xmlns:ns2="d43526f3-5032-496a-a3eb-1eda28f73bd2" xmlns:ns3="2eb3cb45-7272-4fcd-9726-d85d876d295c" targetNamespace="http://schemas.microsoft.com/office/2006/metadata/properties" ma:root="true" ma:fieldsID="f9f2174de886cdb21bae8368e98733e0" ns2:_="" ns3:_="">
    <xsd:import namespace="d43526f3-5032-496a-a3eb-1eda28f73bd2"/>
    <xsd:import namespace="2eb3cb45-7272-4fcd-9726-d85d876d295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26f3-5032-496a-a3eb-1eda28f73bd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cb45-7272-4fcd-9726-d85d876d295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d43526f3-5032-496a-a3eb-1eda28f73bd2" xsi:nil="true"/>
    <_lisam_PublishedVersion xmlns="2eb3cb45-7272-4fcd-9726-d85d876d295c" xsi:nil="true"/>
  </documentManagement>
</p:properties>
</file>

<file path=customXml/itemProps1.xml><?xml version="1.0" encoding="utf-8"?>
<ds:datastoreItem xmlns:ds="http://schemas.openxmlformats.org/officeDocument/2006/customXml" ds:itemID="{2022428D-C0E4-4F1E-B0D2-26B41FCCF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E3E79-CB61-47BD-9FBB-2812C21F23B3}"/>
</file>

<file path=customXml/itemProps3.xml><?xml version="1.0" encoding="utf-8"?>
<ds:datastoreItem xmlns:ds="http://schemas.openxmlformats.org/officeDocument/2006/customXml" ds:itemID="{779845E4-1DD0-43BB-BDD4-BBE380254A53}"/>
</file>

<file path=customXml/itemProps4.xml><?xml version="1.0" encoding="utf-8"?>
<ds:datastoreItem xmlns:ds="http://schemas.openxmlformats.org/officeDocument/2006/customXml" ds:itemID="{AE1AE575-496D-4F97-8EB4-A83571F70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Åsa-Karin Engstrand</dc:creator>
  <cp:keywords/>
  <dc:description/>
  <cp:lastModifiedBy>Elisabeth Samuelsson</cp:lastModifiedBy>
  <cp:revision>2</cp:revision>
  <dcterms:created xsi:type="dcterms:W3CDTF">2020-06-22T12:19:00Z</dcterms:created>
  <dcterms:modified xsi:type="dcterms:W3CDTF">2020-06-22T12:19:00Z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0x0101008FB9A3F15E4014429362DA6950D74179</vt:lpwstr>
  </property>
</Properties>
</file>